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818" w14:textId="77777777" w:rsidR="0017407C" w:rsidRPr="003A19AD" w:rsidRDefault="0017407C">
      <w:pPr>
        <w:pStyle w:val="Titlu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B77E472" w14:textId="77777777" w:rsidR="0017407C" w:rsidRPr="003A19AD" w:rsidRDefault="006F18A8">
      <w:pPr>
        <w:pStyle w:val="Titlu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6728415C" wp14:editId="0E605C70">
            <wp:extent cx="3724606" cy="1561651"/>
            <wp:effectExtent l="0" t="0" r="0" b="0"/>
            <wp:docPr id="1073741829" name="officeArt object" descr="Logo Educatie pentru Media_!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Educatie pentru Media_!-01" descr="Logo Educatie pentru Media_!-01"/>
                    <pic:cNvPicPr>
                      <a:picLocks noChangeAspect="1"/>
                    </pic:cNvPicPr>
                  </pic:nvPicPr>
                  <pic:blipFill>
                    <a:blip r:embed="rId7"/>
                    <a:srcRect l="17715" t="28674" r="19511" b="34120"/>
                    <a:stretch>
                      <a:fillRect/>
                    </a:stretch>
                  </pic:blipFill>
                  <pic:spPr>
                    <a:xfrm>
                      <a:off x="0" y="0"/>
                      <a:ext cx="3724606" cy="15616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83E0A0" w14:textId="77777777" w:rsidR="0017407C" w:rsidRPr="003A19AD" w:rsidRDefault="00174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u w:color="17365D"/>
          <w:lang w:val="ro-RO"/>
        </w:rPr>
      </w:pPr>
    </w:p>
    <w:p w14:paraId="7B4D33A9" w14:textId="77777777" w:rsidR="0017407C" w:rsidRPr="003A19AD" w:rsidRDefault="006F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  <w:lang w:val="ro-RO"/>
        </w:rPr>
      </w:pP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REGULAMENT </w:t>
      </w:r>
    </w:p>
    <w:p w14:paraId="5BC3DCEB" w14:textId="77777777" w:rsidR="0017407C" w:rsidRPr="003A19AD" w:rsidRDefault="006F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  <w:lang w:val="ro-RO"/>
        </w:rPr>
      </w:pP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cu privire la selectarea a 7 </w:t>
      </w:r>
      <w:proofErr w:type="spellStart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institu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ţ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ii</w:t>
      </w:r>
      <w:proofErr w:type="spellEnd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de </w:t>
      </w:r>
      <w:proofErr w:type="spellStart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nv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ăţă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m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â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nt</w:t>
      </w:r>
      <w:proofErr w:type="spellEnd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 care,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 anul de studii 2021-2022, se pred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ă</w:t>
      </w:r>
      <w:r w:rsidRPr="003A19AD">
        <w:rPr>
          <w:rFonts w:ascii="Times New Roman" w:hAnsi="Times New Roman"/>
          <w:b/>
          <w:bCs/>
          <w:i/>
          <w:iCs/>
          <w:color w:val="17365D"/>
          <w:sz w:val="24"/>
          <w:szCs w:val="24"/>
          <w:u w:color="17365D"/>
          <w:lang w:val="ro-RO"/>
        </w:rPr>
        <w:t xml:space="preserve">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disciplina </w:t>
      </w:r>
      <w:proofErr w:type="spellStart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Educa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ţ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ie</w:t>
      </w:r>
      <w:proofErr w:type="spellEnd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pentru media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ș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 a 5 institu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ț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ii de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nv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ăță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m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â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nt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 care,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 anul de studii 2021-2022, nu se pred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ă</w:t>
      </w:r>
      <w:r w:rsidRPr="003A19AD">
        <w:rPr>
          <w:rFonts w:ascii="Times New Roman" w:hAnsi="Times New Roman"/>
          <w:b/>
          <w:bCs/>
          <w:i/>
          <w:iCs/>
          <w:color w:val="17365D"/>
          <w:sz w:val="24"/>
          <w:szCs w:val="24"/>
          <w:u w:color="17365D"/>
          <w:lang w:val="ro-RO"/>
        </w:rPr>
        <w:t xml:space="preserve">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disciplina </w:t>
      </w:r>
      <w:proofErr w:type="spellStart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Educa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ţ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ie</w:t>
      </w:r>
      <w:proofErr w:type="spellEnd"/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pentru media, </w:t>
      </w:r>
    </w:p>
    <w:p w14:paraId="03FF0D66" w14:textId="77777777" w:rsidR="0017407C" w:rsidRPr="003A19AD" w:rsidRDefault="006F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  <w:lang w:val="ro-RO"/>
        </w:rPr>
      </w:pP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pentru participare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n cadrul celei de-a doua edi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ț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ii a concursului</w:t>
      </w:r>
    </w:p>
    <w:p w14:paraId="6AB1B65A" w14:textId="77777777" w:rsidR="0017407C" w:rsidRPr="003A19AD" w:rsidRDefault="0017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  <w:lang w:val="ro-RO"/>
        </w:rPr>
      </w:pPr>
    </w:p>
    <w:p w14:paraId="3EAD92A8" w14:textId="77777777" w:rsidR="0017407C" w:rsidRPr="003A19AD" w:rsidRDefault="006F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u w:color="17365D"/>
          <w:lang w:val="ro-RO"/>
        </w:rPr>
      </w:pP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 „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EDUCA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Ţ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IA PENTRU MEDIA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–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PRIORITATE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Î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 xml:space="preserve">N 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Ş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COALA MEA</w:t>
      </w:r>
      <w:r w:rsidRPr="003A19AD">
        <w:rPr>
          <w:rFonts w:ascii="Times New Roman" w:hAnsi="Times New Roman"/>
          <w:b/>
          <w:bCs/>
          <w:color w:val="17365D"/>
          <w:sz w:val="24"/>
          <w:szCs w:val="24"/>
          <w:u w:color="17365D"/>
          <w:lang w:val="ro-RO"/>
        </w:rPr>
        <w:t>”</w:t>
      </w:r>
    </w:p>
    <w:p w14:paraId="23E00974" w14:textId="77777777" w:rsidR="0017407C" w:rsidRPr="003A19AD" w:rsidRDefault="0017407C">
      <w:pPr>
        <w:pStyle w:val="NormalWeb"/>
        <w:spacing w:before="0" w:after="0"/>
        <w:jc w:val="both"/>
        <w:rPr>
          <w:b/>
          <w:bCs/>
          <w:lang w:val="ro-RO"/>
        </w:rPr>
      </w:pPr>
    </w:p>
    <w:p w14:paraId="64D7797C" w14:textId="77777777" w:rsidR="0017407C" w:rsidRPr="003A19AD" w:rsidRDefault="006F18A8">
      <w:pPr>
        <w:pStyle w:val="NormalWeb"/>
        <w:spacing w:before="0" w:after="0"/>
        <w:jc w:val="both"/>
        <w:rPr>
          <w:b/>
          <w:bCs/>
          <w:lang w:val="ro-RO"/>
        </w:rPr>
      </w:pPr>
      <w:r w:rsidRPr="003A19AD">
        <w:rPr>
          <w:b/>
          <w:bCs/>
          <w:lang w:val="ro-RO"/>
        </w:rPr>
        <w:t xml:space="preserve">Despre </w:t>
      </w:r>
      <w:proofErr w:type="spellStart"/>
      <w:r w:rsidRPr="003A19AD">
        <w:rPr>
          <w:b/>
          <w:bCs/>
          <w:lang w:val="ro-RO"/>
        </w:rPr>
        <w:t>iniţiativă</w:t>
      </w:r>
      <w:proofErr w:type="spellEnd"/>
    </w:p>
    <w:p w14:paraId="395C7BCA" w14:textId="77777777" w:rsidR="0017407C" w:rsidRPr="003A19AD" w:rsidRDefault="0017407C">
      <w:pPr>
        <w:pStyle w:val="NormalWeb"/>
        <w:spacing w:before="0" w:after="0"/>
        <w:jc w:val="both"/>
        <w:rPr>
          <w:b/>
          <w:bCs/>
          <w:lang w:val="ro-RO"/>
        </w:rPr>
      </w:pPr>
    </w:p>
    <w:p w14:paraId="2C05C3E2" w14:textId="77777777" w:rsidR="0017407C" w:rsidRPr="003A19AD" w:rsidRDefault="006F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Centrul pentru Jurnalism Independent (CJI) lanseaz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cea de-a doua edi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ț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ie a concursului 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proofErr w:type="spellStart"/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Educa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ia</w:t>
      </w:r>
      <w:proofErr w:type="spellEnd"/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 xml:space="preserve"> pentru media 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 xml:space="preserve">– 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 xml:space="preserve">prioritate 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 xml:space="preserve">n </w:t>
      </w:r>
      <w:proofErr w:type="spellStart"/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coala</w:t>
      </w:r>
      <w:proofErr w:type="spellEnd"/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 xml:space="preserve"> mea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î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n r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â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ndul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institu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iilor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de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nv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ăţă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m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â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nt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preuniversitar din Republica Moldova. </w:t>
      </w:r>
      <w:r w:rsidRPr="003A19AD">
        <w:rPr>
          <w:rFonts w:ascii="Times New Roman" w:hAnsi="Times New Roman"/>
          <w:sz w:val="24"/>
          <w:szCs w:val="24"/>
          <w:lang w:val="ro-RO"/>
        </w:rPr>
        <w:t>Evenimentul este organizat</w:t>
      </w:r>
      <w:r w:rsidRPr="003A19AD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n cadrul proiectului 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„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Consolidarea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competen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elor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de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educa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ie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media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”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, cu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sus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inerea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Deutsche Welle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Akademie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ş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cu suportul financiar al Ministerului Federal pentru Cooperare Economic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ş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Dezvoltare din Germania (BMZ), 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n parteneriat cu Ministerul </w:t>
      </w:r>
      <w:proofErr w:type="spellStart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Educa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iei</w:t>
      </w:r>
      <w:proofErr w:type="spellEnd"/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ș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i Cercet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ă</w:t>
      </w:r>
      <w:r w:rsidRPr="003A19AD">
        <w:rPr>
          <w:rFonts w:ascii="Times New Roman" w:hAnsi="Times New Roman"/>
          <w:sz w:val="24"/>
          <w:szCs w:val="24"/>
          <w:shd w:val="clear" w:color="auto" w:fill="F7F7F7"/>
          <w:lang w:val="ro-RO"/>
        </w:rPr>
        <w:t>rii al Republicii Moldova.</w:t>
      </w:r>
    </w:p>
    <w:p w14:paraId="74388439" w14:textId="77777777" w:rsidR="0017407C" w:rsidRPr="003A19AD" w:rsidRDefault="0017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val="ro-RO"/>
        </w:rPr>
      </w:pPr>
    </w:p>
    <w:p w14:paraId="373577B8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Ini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iativa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CJI de predare a 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disciplinei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op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pentru media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Fonts w:ascii="Times New Roman" w:hAnsi="Times New Roman"/>
          <w:sz w:val="24"/>
          <w:szCs w:val="24"/>
          <w:lang w:val="ro-RO"/>
        </w:rPr>
        <w:t>coal</w:t>
      </w:r>
      <w:r w:rsidRPr="003A19AD"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a prins contur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>n anul 2017, c</w:t>
      </w:r>
      <w:r w:rsidRPr="003A19AD">
        <w:rPr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nd cursul a fost introdus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>n premier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Fonts w:ascii="Times New Roman" w:hAnsi="Times New Roman"/>
          <w:sz w:val="24"/>
          <w:szCs w:val="24"/>
          <w:lang w:val="ro-RO"/>
        </w:rPr>
        <w:t>la treapta primar</w:t>
      </w:r>
      <w:r w:rsidRPr="003A19AD">
        <w:rPr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>n anul 2018 a urmat treapta gimnazial</w:t>
      </w:r>
      <w:r w:rsidRPr="003A19AD">
        <w:rPr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, iar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n anul 2019 cursul a ajuns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la treapta de liceu.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Pr="003A19AD">
        <w:rPr>
          <w:rFonts w:ascii="Times New Roman" w:hAnsi="Times New Roman"/>
          <w:sz w:val="24"/>
          <w:szCs w:val="24"/>
          <w:lang w:val="ro-RO"/>
        </w:rPr>
        <w:t>media este predat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Fonts w:ascii="Times New Roman" w:hAnsi="Times New Roman"/>
          <w:sz w:val="24"/>
          <w:szCs w:val="24"/>
          <w:lang w:val="ro-RO"/>
        </w:rPr>
        <w:t>av</w:t>
      </w:r>
      <w:r w:rsidRPr="003A19AD">
        <w:rPr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Fonts w:ascii="Times New Roman" w:hAnsi="Times New Roman"/>
          <w:sz w:val="24"/>
          <w:szCs w:val="24"/>
          <w:lang w:val="ro-RO"/>
        </w:rPr>
        <w:t>nd la baz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curricula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pentru toate cele trei trepte de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>, aprobat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de Consiliul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Na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ional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pentru Curriculum din cadrul Ministerului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, Culturii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Cercet</w:t>
      </w:r>
      <w:r w:rsidRPr="003A19AD">
        <w:rPr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rii. </w:t>
      </w:r>
      <w:r w:rsidRPr="003A19AD">
        <w:rPr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n baza acesteia, CJI a elaborat </w:t>
      </w:r>
      <w:hyperlink r:id="rId8" w:history="1">
        <w:r w:rsidRPr="003A19AD">
          <w:rPr>
            <w:rStyle w:val="Hyperlink0"/>
            <w:rFonts w:eastAsia="Calibri"/>
            <w:lang w:val="ro-RO"/>
          </w:rPr>
          <w:t>manuale</w:t>
        </w:r>
      </w:hyperlink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toate treptele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disponibile 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limba rom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rus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. Periodic, CJI organizeaz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form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 pentru cadrele didactice, cu scopul de a le ajuta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predea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media.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ultimii patru ani, CJI a organizat 27 de programe de instruire pentru 533 de profesori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 profesoare, iar peste 7.700 de elevi au studiat noul curs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op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ional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. Scopul acestor eforturi este cultivarea 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ndirii critice a el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evilor, ca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devin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consumatori de media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aviza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responsabili. Pentru mai multe detalii privind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urate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CJI,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hyperlink r:id="rId9" w:history="1">
        <w:r w:rsidRPr="003A19AD">
          <w:rPr>
            <w:rStyle w:val="Hyperlink0"/>
            <w:rFonts w:eastAsia="Calibri"/>
            <w:lang w:val="ro-RO"/>
          </w:rPr>
          <w:t>www.educatia.mediacritica.md</w:t>
        </w:r>
      </w:hyperlink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. </w:t>
      </w:r>
    </w:p>
    <w:p w14:paraId="193E8ECF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F9612F" w14:textId="77777777" w:rsidR="0017407C" w:rsidRPr="003A19AD" w:rsidRDefault="006F18A8">
      <w:pPr>
        <w:shd w:val="clear" w:color="auto" w:fill="FFFFF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Despre concurs</w:t>
      </w:r>
    </w:p>
    <w:p w14:paraId="6D121493" w14:textId="77777777" w:rsidR="0017407C" w:rsidRPr="003A19AD" w:rsidRDefault="0017407C">
      <w:pPr>
        <w:shd w:val="clear" w:color="auto" w:fill="FFFFF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AC36B3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Concu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rsul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„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pentru media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–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prioritate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coala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mea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”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reprezint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o continuitate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iunilor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ntreprinse de CJI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ultimii ani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domeniul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propune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sus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ncurajeze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lastRenderedPageBreak/>
        <w:t xml:space="preserve">eforturile profesorilor de a educa elevii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spiritul 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ndirii critice.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 organizate de profesori,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cadrul acestui concurs,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preuniversitar din Republica Moldova,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vor aduce aportul 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 promovarea noului curs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colar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calitate de disciplin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care contribuie la dezvoltarea 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ndirii critice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a consumului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tient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informa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. </w:t>
      </w:r>
    </w:p>
    <w:p w14:paraId="0EBB4F11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D4F114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7F7F7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shd w:val="clear" w:color="auto" w:fill="F7F7F7"/>
          <w:lang w:val="ro-RO"/>
        </w:rPr>
        <w:t xml:space="preserve">Scopul concursului: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S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motiveze profesorii s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predea c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t mai calitativ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interactiv 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pentru media, s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dezvolte g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ndirea critic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a elevilor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s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sporeasc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nivelul lor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competen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>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shd w:val="clear" w:color="auto" w:fill="F7F7F7"/>
          <w:lang w:val="ro-RO"/>
        </w:rPr>
        <w:t xml:space="preserve"> media.</w:t>
      </w:r>
    </w:p>
    <w:p w14:paraId="7E31650D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7F7F7"/>
          <w:lang w:val="ro-RO"/>
        </w:rPr>
      </w:pPr>
    </w:p>
    <w:p w14:paraId="47FEAD4A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acest an, concursul este anun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at pentru dou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categorii: 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– 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anul de studii 2021-2022, 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op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ional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es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la cel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una din cele trei trepte - primar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gimnazial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sau liceal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; II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– 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de studii 2021-2022, nu este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disciplina op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ional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 pentru media.</w:t>
      </w:r>
    </w:p>
    <w:p w14:paraId="104ADC9B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FDEF4A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7F7F7"/>
          <w:lang w:val="ro-RO"/>
        </w:rPr>
      </w:pPr>
      <w:r w:rsidRPr="003A19AD">
        <w:rPr>
          <w:rStyle w:val="None"/>
          <w:rFonts w:ascii="Times New Roman" w:hAnsi="Times New Roman"/>
          <w:lang w:val="ro-RO"/>
        </w:rPr>
        <w:t>La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prima etap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 concursului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„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pentru media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–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prioritate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coala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mea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”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vor fi selectate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7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de studii 2021-2022, este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op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ional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 alte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5 institu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 aceast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disciplin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nu este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deocamdat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.</w:t>
      </w:r>
    </w:p>
    <w:p w14:paraId="02D1C094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3D5A750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colile selectate vor participa la cea de-a doua etap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 concursului, av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nd la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dispozi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ase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luni de zile,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perioada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1 noiembrie 2021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–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30 aprilie 2022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pentru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media.</w:t>
      </w:r>
    </w:p>
    <w:p w14:paraId="76806EB8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82484B3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Astfel,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colile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care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2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021-2022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disciplina 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 pentru media:</w:t>
      </w:r>
    </w:p>
    <w:p w14:paraId="6C03AA9B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B4E582" w14:textId="77777777" w:rsidR="0017407C" w:rsidRPr="003A19AD" w:rsidRDefault="006F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profesorii de la treapta primar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vor realiza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mpreun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cu elevii/profesorii/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sub genericul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Vreau s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fiu creator de media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; </w:t>
      </w:r>
    </w:p>
    <w:p w14:paraId="2DD586F7" w14:textId="77777777" w:rsidR="0017407C" w:rsidRPr="003A19AD" w:rsidRDefault="006F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profesorii de la treapta gimnazial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vor realiza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mpreun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cu elevii/profesorii/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sub genericul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Comportamentul etic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 online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;</w:t>
      </w:r>
    </w:p>
    <w:p w14:paraId="73A78A4B" w14:textId="77777777" w:rsidR="0017407C" w:rsidRPr="003A19AD" w:rsidRDefault="006F1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profesorii de la treapta liceal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vor realiza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mpreun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cu elevii/profesorii/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sub genericul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Sunt sigur online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”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7D7153E8" w14:textId="77777777" w:rsidR="0017407C" w:rsidRPr="003A19AD" w:rsidRDefault="0017407C">
      <w:pPr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FACE470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colile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care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anul 2021-2022 nu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disciplina 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 pentru media, profesorii au posibilitatea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oare 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 de 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ie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func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 de tematicile pentru care manifest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interes 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 ei, 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 elevii. Manualele online de 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ie pentru media la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cele trei trepte de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ăță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nt pot fi consultate </w:t>
      </w:r>
      <w:hyperlink r:id="rId10" w:history="1">
        <w:r w:rsidRPr="003A19AD">
          <w:rPr>
            <w:rStyle w:val="Hyperlink1"/>
            <w:rFonts w:eastAsia="Calibri"/>
            <w:lang w:val="ro-RO"/>
          </w:rPr>
          <w:t>aici</w:t>
        </w:r>
      </w:hyperlink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.</w:t>
      </w:r>
    </w:p>
    <w:p w14:paraId="26C491F4" w14:textId="77777777" w:rsidR="0017407C" w:rsidRPr="003A19AD" w:rsidRDefault="0017407C">
      <w:pPr>
        <w:pStyle w:val="Listparagraf"/>
        <w:spacing w:after="0" w:line="240" w:lineRule="auto"/>
        <w:ind w:left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1FFB74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Pentru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colile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 anul de studii 2021-2022, se pred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ie pentru media, dosarul de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participare la prima etap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a concursului va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con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ine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:</w:t>
      </w:r>
    </w:p>
    <w:p w14:paraId="0BFE8BBA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F431857" w14:textId="77777777" w:rsidR="0017407C" w:rsidRPr="003A19AD" w:rsidRDefault="006F18A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  <w:lang w:val="ro-RO"/>
        </w:rPr>
        <w:t>Formularul de aplicare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completat, cu semn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tura directorului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tampila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;</w:t>
      </w:r>
    </w:p>
    <w:p w14:paraId="0C099D2C" w14:textId="77777777" w:rsidR="0017407C" w:rsidRPr="003A19AD" w:rsidRDefault="006F18A8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O scrisoare de motivare din partea profesorului/profesoarei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care va coordona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rin care se confirm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inten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a participa la concurs. </w:t>
      </w:r>
    </w:p>
    <w:p w14:paraId="67DF531C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D8446DD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Pentru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colile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 anul de studii 2021-2022, nu se pred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ie pentru media, dosarul de participare la prima etap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a concursului va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con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ine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:</w:t>
      </w:r>
    </w:p>
    <w:p w14:paraId="569F897D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16A6E55" w14:textId="77777777" w:rsidR="0017407C" w:rsidRPr="003A19AD" w:rsidRDefault="006F18A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  <w:lang w:val="ro-RO"/>
        </w:rPr>
        <w:t>Formularul de aplicare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completat, cu semn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tura directorului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tampila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;</w:t>
      </w:r>
    </w:p>
    <w:p w14:paraId="2B177844" w14:textId="77777777" w:rsidR="0017407C" w:rsidRPr="003A19AD" w:rsidRDefault="006F18A8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O scrisoare de motivare din partea profesorului/profesoarei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care va coordona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prin care se confirm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inten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a participa la concurs. </w:t>
      </w:r>
    </w:p>
    <w:p w14:paraId="3E6D83D2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66F532" w14:textId="4EC76388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83130565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ATEN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IE!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Cele 12 echipe participante la prima edi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 a concursului nu sunt eligibile pentru edi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 din acest an a competi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iei.</w:t>
      </w:r>
      <w:r w:rsid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Totuși, în cazul în care echipele vor fi conduse de alți profesori și profesoare din cadrul celor 12 instituții</w:t>
      </w:r>
      <w:r w:rsidR="003D59E8">
        <w:rPr>
          <w:rStyle w:val="None"/>
          <w:rFonts w:ascii="Times New Roman" w:hAnsi="Times New Roman"/>
          <w:sz w:val="24"/>
          <w:szCs w:val="24"/>
          <w:lang w:val="ro-RO"/>
        </w:rPr>
        <w:t xml:space="preserve">, acestea vor fi eligibile. </w:t>
      </w:r>
      <w:r w:rsid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  </w:t>
      </w:r>
    </w:p>
    <w:bookmarkEnd w:id="0"/>
    <w:p w14:paraId="2AD933D7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9A68D2E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Criteriile de selectare a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iilor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pentru prima etap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a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concursului:</w:t>
      </w:r>
    </w:p>
    <w:p w14:paraId="358301E4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EC5C0B" w14:textId="77777777" w:rsidR="0017407C" w:rsidRPr="003A19AD" w:rsidRDefault="006F18A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Motiva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reprezentan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a promova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media;</w:t>
      </w:r>
    </w:p>
    <w:p w14:paraId="6F94187D" w14:textId="77777777" w:rsidR="0017407C" w:rsidRPr="003A19AD" w:rsidRDefault="006F18A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Num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rul elevilor care studiaz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(cel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150 de elevi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); </w:t>
      </w:r>
    </w:p>
    <w:p w14:paraId="1F7C756A" w14:textId="77777777" w:rsidR="0017407C" w:rsidRPr="003A19AD" w:rsidRDefault="006F18A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Num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rul treptelor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colare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la care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pentru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 (pentru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colile din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prima categorie);</w:t>
      </w:r>
    </w:p>
    <w:p w14:paraId="04B11CAF" w14:textId="77777777" w:rsidR="0017407C" w:rsidRPr="003A19AD" w:rsidRDefault="006F18A8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Experien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gestionarea proiectelor.</w:t>
      </w:r>
    </w:p>
    <w:p w14:paraId="19A60965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C3146D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participante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concurs vor beneficia fiecare de un suport financiar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valoare de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300 de euro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urarea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. </w:t>
      </w:r>
    </w:p>
    <w:p w14:paraId="03F35DF0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67667A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La final, fiecare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va prezenta 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te un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portofoliu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realizat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perioada concursului, care va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:</w:t>
      </w:r>
    </w:p>
    <w:p w14:paraId="5BD32931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EE01298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Descrierea evenimentelor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urate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(de ex.: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lec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media, dezbateri, concursuri,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guiz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-uri,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victorine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, mese rotunde,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lniri cu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jurnali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);</w:t>
      </w:r>
    </w:p>
    <w:p w14:paraId="05362A3D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nregistr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ri video ale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organizate;</w:t>
      </w:r>
    </w:p>
    <w:p w14:paraId="09FF118C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Proiectul didactic al unei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lec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conformitate cu genericul pentru fiecare treapt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(pentru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colile din prima categorie);</w:t>
      </w:r>
    </w:p>
    <w:p w14:paraId="1950E1DB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promovare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alte clase dec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t cele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disciplina (pentru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colile din prima categorie);</w:t>
      </w:r>
    </w:p>
    <w:p w14:paraId="4EF558A9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Fotografii de la evenimente;</w:t>
      </w:r>
    </w:p>
    <w:p w14:paraId="35573DE3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Produse video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audio pe teme care se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ncadreaz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genericul fiec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rei trepte de studiu, realizate de elevi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cadrul unor concursuri sau a altor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;</w:t>
      </w:r>
    </w:p>
    <w:p w14:paraId="6EEDF5EB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Postere;</w:t>
      </w:r>
    </w:p>
    <w:p w14:paraId="3A002B03" w14:textId="77777777" w:rsidR="0017407C" w:rsidRPr="003A19AD" w:rsidRDefault="006F18A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Alte materiale relevante. </w:t>
      </w:r>
    </w:p>
    <w:p w14:paraId="337EE8A2" w14:textId="77777777" w:rsidR="0017407C" w:rsidRPr="003A19AD" w:rsidRDefault="0017407C">
      <w:pPr>
        <w:pStyle w:val="Listparagraf"/>
        <w:spacing w:after="0" w:line="240" w:lineRule="auto"/>
        <w:ind w:left="144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AF60D3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Evenimentul de prezentare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 ale celor 12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nscrise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concurs (7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coli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de studii 2021-2022,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disciplina 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ie pentru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i 5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care aceasta nu se pred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) va avea loc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luna iunie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 2021,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Chi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. Fiecare participant va avea la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dispozi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15 minute pentru a-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prezenta portofoliul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fa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juriului. </w:t>
      </w:r>
    </w:p>
    <w:p w14:paraId="31224D8E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05FE55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Procedura de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selec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ie</w:t>
      </w:r>
      <w:proofErr w:type="spellEnd"/>
    </w:p>
    <w:p w14:paraId="5CFAA9C4" w14:textId="77777777" w:rsidR="0017407C" w:rsidRPr="003A19AD" w:rsidRDefault="0017407C">
      <w:pPr>
        <w:pStyle w:val="Listparagraf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4FA876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Membrii juriului,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forma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reprezentan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ai CJI, Ministerului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Cercet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rii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exper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domeniu, vor selecta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tig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torii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:</w:t>
      </w:r>
    </w:p>
    <w:p w14:paraId="65FE6BB1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76414F" w14:textId="77777777" w:rsidR="0017407C" w:rsidRPr="003A19AD" w:rsidRDefault="006F18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2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din cele 7 participante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concurs,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care,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de studii 2021-2022, este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media;</w:t>
      </w:r>
    </w:p>
    <w:p w14:paraId="0FB47601" w14:textId="77777777" w:rsidR="0017407C" w:rsidRPr="003A19AD" w:rsidRDefault="006F18A8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lastRenderedPageBreak/>
        <w:t xml:space="preserve">2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din cele 5 participante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concurs,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care,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anul de studii 2021-2022, nu este predat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media;</w:t>
      </w:r>
    </w:p>
    <w:p w14:paraId="191FB30C" w14:textId="77777777" w:rsidR="0017407C" w:rsidRPr="003A19AD" w:rsidRDefault="0017407C">
      <w:pPr>
        <w:pStyle w:val="Listparagraf"/>
        <w:spacing w:after="0" w:line="240" w:lineRule="auto"/>
        <w:ind w:left="10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248D0D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54426AE" w14:textId="77777777" w:rsidR="0017407C" w:rsidRPr="003A19AD" w:rsidRDefault="006F18A8">
      <w:pPr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Criteriile de evaluare a portofoliilor cu </w:t>
      </w:r>
      <w:proofErr w:type="spellStart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</w:p>
    <w:p w14:paraId="628CBDE5" w14:textId="77777777" w:rsidR="0017407C" w:rsidRPr="003A19AD" w:rsidRDefault="0017407C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C5DEE7B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Originalitatea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;</w:t>
      </w:r>
    </w:p>
    <w:p w14:paraId="4A92BAED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Abordarea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creativ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procesul de predare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lec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media, utilizarea metodelor interactive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inovative de predare-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are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-evaluare pentru a stimula 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ndirea critic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a elevilor; </w:t>
      </w:r>
    </w:p>
    <w:p w14:paraId="7A19F28E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Abordarea creativ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procesul de promovare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ndul profesorilor, elevilor,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;</w:t>
      </w:r>
    </w:p>
    <w:p w14:paraId="507B3755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Num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rul de profesori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elevi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implica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media;</w:t>
      </w:r>
    </w:p>
    <w:p w14:paraId="22069A90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Num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rul de persoane implicate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extra-curriculare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media;</w:t>
      </w:r>
    </w:p>
    <w:p w14:paraId="72644241" w14:textId="77777777" w:rsidR="0017407C" w:rsidRPr="003A19AD" w:rsidRDefault="006F18A8">
      <w:pPr>
        <w:pStyle w:val="Listparagraf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Coeren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originalitatea prezent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rii rezultat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elor. </w:t>
      </w:r>
    </w:p>
    <w:p w14:paraId="0B4E9D72" w14:textId="77777777" w:rsidR="0017407C" w:rsidRPr="003A19AD" w:rsidRDefault="0017407C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FACC32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IMPORTANT!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La evaluarea portofoliilor, juriul va pune accent nu pe cantitatea, ci pe calitatea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urate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a-i ajuta pe elevi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se simt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siguran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spa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iul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virtual, pentru a-i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ncuraja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devin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creatori de media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a le stimula g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ndirea critic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, promov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nd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acela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timp disciplina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pentru media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coal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.</w:t>
      </w:r>
    </w:p>
    <w:p w14:paraId="6D787354" w14:textId="77777777" w:rsidR="0017407C" w:rsidRPr="003A19AD" w:rsidRDefault="006F18A8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    </w:t>
      </w:r>
    </w:p>
    <w:p w14:paraId="40ED3D33" w14:textId="77777777" w:rsidR="0017407C" w:rsidRPr="003A19AD" w:rsidRDefault="006F18A8">
      <w:pPr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Pe tot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parcusul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concursului este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ncurajat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promovarea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activit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 pagina web 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institu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nv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ăţă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nt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nscris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 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competi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, pe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re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elele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sociale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alte platforme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ionale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sub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hashtagurile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#educatiemedia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#EducatiapentruMediaPrioritateinScoalaMea.  </w:t>
      </w:r>
    </w:p>
    <w:p w14:paraId="6851A5B7" w14:textId="77777777" w:rsidR="0017407C" w:rsidRPr="003A19AD" w:rsidRDefault="006F18A8">
      <w:pP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Premii:</w:t>
      </w:r>
    </w:p>
    <w:p w14:paraId="5F7E6E1F" w14:textId="77777777" w:rsidR="003A19AD" w:rsidRPr="003A19AD" w:rsidRDefault="003A19AD" w:rsidP="003A19AD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Fonts w:ascii="Times New Roman" w:hAnsi="Times New Roman"/>
          <w:sz w:val="24"/>
          <w:szCs w:val="24"/>
          <w:lang w:val="ro-RO"/>
        </w:rPr>
        <w:t xml:space="preserve">Cele patru școli câștigătoare vor fi echipate cu câte un </w:t>
      </w:r>
      <w:r w:rsidRPr="003A19AD">
        <w:rPr>
          <w:rFonts w:ascii="Times New Roman" w:hAnsi="Times New Roman"/>
          <w:b/>
          <w:bCs/>
          <w:sz w:val="24"/>
          <w:szCs w:val="24"/>
          <w:lang w:val="ro-RO"/>
        </w:rPr>
        <w:t>Media Corner</w:t>
      </w:r>
      <w:r w:rsidRPr="003A19AD">
        <w:rPr>
          <w:rFonts w:ascii="Times New Roman" w:hAnsi="Times New Roman"/>
          <w:sz w:val="24"/>
          <w:szCs w:val="24"/>
          <w:lang w:val="ro-RO"/>
        </w:rPr>
        <w:t xml:space="preserve"> – un colțișor de Educație pentru media în care elevii vor avea acces la resurse de educație media. Împreună cu profesorii, elevii vor avea posibilitatea să desfășoare activități de educație media într-un spațiu confortabil și creativ. Colțișorul de Educație pentru media va fi amenajat în cadrul proiectului „Consolidarea competențelor de educație media”, cu susținerea Deutsche Welle </w:t>
      </w:r>
      <w:proofErr w:type="spellStart"/>
      <w:r w:rsidRPr="003A19AD">
        <w:rPr>
          <w:rFonts w:ascii="Times New Roman" w:hAnsi="Times New Roman"/>
          <w:sz w:val="24"/>
          <w:szCs w:val="24"/>
          <w:lang w:val="ro-RO"/>
        </w:rPr>
        <w:t>Akademie</w:t>
      </w:r>
      <w:proofErr w:type="spellEnd"/>
      <w:r w:rsidRPr="003A19AD">
        <w:rPr>
          <w:rFonts w:ascii="Times New Roman" w:hAnsi="Times New Roman"/>
          <w:sz w:val="24"/>
          <w:szCs w:val="24"/>
          <w:lang w:val="ro-RO"/>
        </w:rPr>
        <w:t xml:space="preserve"> și cu suportul financiar al Ministerului Federal pentru Cooperare Economică și Dezvoltare din Germania (BMZ).</w:t>
      </w:r>
    </w:p>
    <w:p w14:paraId="41964216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C720BFA" w14:textId="77777777" w:rsidR="0017407C" w:rsidRPr="003A19AD" w:rsidRDefault="006F18A8">
      <w:pPr>
        <w:widowControl w:val="0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Mo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dul de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nscriere la prima etap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a concursului:</w:t>
      </w:r>
    </w:p>
    <w:p w14:paraId="7E424252" w14:textId="77777777" w:rsidR="0017407C" w:rsidRPr="003A19AD" w:rsidRDefault="0017407C">
      <w:pPr>
        <w:widowControl w:val="0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EF72F16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Dosarul complet va fi expediat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format electronic p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pe data de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14 octombrie 2021,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pe adresa </w:t>
      </w:r>
      <w:hyperlink r:id="rId11" w:history="1">
        <w:r w:rsidRPr="003A19AD">
          <w:rPr>
            <w:rStyle w:val="Hyperlink0"/>
            <w:rFonts w:eastAsia="Calibri"/>
            <w:lang w:val="ro-RO"/>
          </w:rPr>
          <w:t>info@ijc.md</w:t>
        </w:r>
      </w:hyperlink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(Persoan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responsabil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: Veronica Coroi, coordonatoare de programe, CJI), cu includere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cc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a adresei </w:t>
      </w:r>
      <w:hyperlink r:id="rId12" w:history="1">
        <w:r w:rsidRPr="003A19AD">
          <w:rPr>
            <w:rStyle w:val="Hyperlink0"/>
            <w:rFonts w:eastAsia="Calibri"/>
            <w:lang w:val="ro-RO"/>
          </w:rPr>
          <w:t>comunicare@ijc</w:t>
        </w:r>
        <w:r w:rsidRPr="003A19AD">
          <w:rPr>
            <w:rStyle w:val="Hyperlink0"/>
            <w:rFonts w:eastAsia="Calibri"/>
            <w:lang w:val="ro-RO"/>
          </w:rPr>
          <w:t>.md</w:t>
        </w:r>
      </w:hyperlink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(Mariana Tabuncic, manager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ă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 program, CJI).</w:t>
      </w:r>
    </w:p>
    <w:p w14:paraId="7BD63D06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4F00DCE" w14:textId="77777777" w:rsidR="0017407C" w:rsidRPr="003A19AD" w:rsidRDefault="006F18A8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Rezultatele primei etape a concursului vor fi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anun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ate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n cadrul S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pt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m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â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nii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Educ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a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Media, care se va </w:t>
      </w:r>
      <w:proofErr w:type="spellStart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desf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ăş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ura</w:t>
      </w:r>
      <w:proofErr w:type="spellEnd"/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n perioada </w:t>
      </w:r>
      <w:r w:rsidRPr="003A19AD">
        <w:rPr>
          <w:rStyle w:val="None"/>
          <w:rFonts w:ascii="Times New Roman" w:hAnsi="Times New Roman"/>
          <w:b/>
          <w:bCs/>
          <w:sz w:val="24"/>
          <w:szCs w:val="24"/>
          <w:lang w:val="ro-RO"/>
        </w:rPr>
        <w:t>18-24 octombrie 2021.</w:t>
      </w:r>
      <w:r w:rsidRPr="003A19AD">
        <w:rPr>
          <w:rStyle w:val="None"/>
          <w:rFonts w:ascii="Times New Roman" w:hAnsi="Times New Roman"/>
          <w:sz w:val="24"/>
          <w:szCs w:val="24"/>
          <w:lang w:val="ro-RO"/>
        </w:rPr>
        <w:t xml:space="preserve"> </w:t>
      </w:r>
    </w:p>
    <w:p w14:paraId="684E9723" w14:textId="77777777" w:rsidR="0017407C" w:rsidRPr="003A19AD" w:rsidRDefault="0017407C">
      <w:p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090ADC" w14:textId="77777777" w:rsidR="0017407C" w:rsidRPr="003A19AD" w:rsidRDefault="006F18A8">
      <w:pPr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Concursul este organizat de </w:t>
      </w:r>
      <w:bookmarkStart w:id="1" w:name="_Hlk82952487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Centrul pentru Jurnalism Independent </w:t>
      </w:r>
      <w:bookmarkEnd w:id="1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n cadrul proiectului 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„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Consolidarea competen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elor de educa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ie media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”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, cu sus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ț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inerea Deutsche Welle </w:t>
      </w:r>
      <w:proofErr w:type="spellStart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Akademie</w:t>
      </w:r>
      <w:proofErr w:type="spellEnd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ș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i cu 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suportul financiar al Ministerului Federal pentru Cooperare Economic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ă ș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i Dezvoltare din Germania (BMZ), 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î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n parteneriat cu Ministerul </w:t>
      </w:r>
      <w:proofErr w:type="spellStart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Educa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ţ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iei</w:t>
      </w:r>
      <w:proofErr w:type="spellEnd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ş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i</w:t>
      </w:r>
      <w:proofErr w:type="spellEnd"/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 xml:space="preserve"> Cercet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ă</w:t>
      </w:r>
      <w:r w:rsidRPr="003A19AD">
        <w:rPr>
          <w:rStyle w:val="None"/>
          <w:rFonts w:ascii="Times New Roman" w:hAnsi="Times New Roman"/>
          <w:i/>
          <w:iCs/>
          <w:sz w:val="24"/>
          <w:szCs w:val="24"/>
          <w:lang w:val="ro-RO"/>
        </w:rPr>
        <w:t>rii al Republicii Moldova.</w:t>
      </w:r>
    </w:p>
    <w:p w14:paraId="37F2580A" w14:textId="77777777" w:rsidR="0017407C" w:rsidRPr="003A19AD" w:rsidRDefault="0017407C">
      <w:pPr>
        <w:spacing w:after="0" w:line="240" w:lineRule="auto"/>
        <w:jc w:val="both"/>
        <w:rPr>
          <w:lang w:val="ro-RO"/>
        </w:rPr>
      </w:pPr>
    </w:p>
    <w:sectPr w:rsidR="0017407C" w:rsidRPr="003A19AD">
      <w:headerReference w:type="default" r:id="rId13"/>
      <w:footerReference w:type="default" r:id="rId14"/>
      <w:pgSz w:w="12240" w:h="15840"/>
      <w:pgMar w:top="567" w:right="104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9C71" w14:textId="77777777" w:rsidR="006F18A8" w:rsidRDefault="006F18A8">
      <w:pPr>
        <w:spacing w:after="0" w:line="240" w:lineRule="auto"/>
      </w:pPr>
      <w:r>
        <w:separator/>
      </w:r>
    </w:p>
  </w:endnote>
  <w:endnote w:type="continuationSeparator" w:id="0">
    <w:p w14:paraId="08A61A4C" w14:textId="77777777" w:rsidR="006F18A8" w:rsidRDefault="006F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1511" w14:textId="77777777" w:rsidR="0017407C" w:rsidRDefault="006F18A8">
    <w:pPr>
      <w:pStyle w:val="Subsol"/>
      <w:jc w:val="right"/>
    </w:pPr>
    <w:r>
      <w:fldChar w:fldCharType="begin"/>
    </w:r>
    <w:r>
      <w:instrText xml:space="preserve"> PAGE </w:instrText>
    </w:r>
    <w:r>
      <w:fldChar w:fldCharType="separate"/>
    </w:r>
    <w:r w:rsidR="003A19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45B" w14:textId="77777777" w:rsidR="006F18A8" w:rsidRDefault="006F18A8">
      <w:pPr>
        <w:spacing w:after="0" w:line="240" w:lineRule="auto"/>
      </w:pPr>
      <w:r>
        <w:separator/>
      </w:r>
    </w:p>
  </w:footnote>
  <w:footnote w:type="continuationSeparator" w:id="0">
    <w:p w14:paraId="498D344B" w14:textId="77777777" w:rsidR="006F18A8" w:rsidRDefault="006F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D025" w14:textId="77777777" w:rsidR="0017407C" w:rsidRDefault="006F18A8">
    <w:pPr>
      <w:pStyle w:val="Antet"/>
    </w:pPr>
    <w:r>
      <w:rPr>
        <w:b/>
        <w:bCs/>
        <w:noProof/>
        <w:lang w:val="ru-RU"/>
      </w:rPr>
      <w:drawing>
        <wp:inline distT="0" distB="0" distL="0" distR="0" wp14:anchorId="1700E07E" wp14:editId="17B100F1">
          <wp:extent cx="1380516" cy="619049"/>
          <wp:effectExtent l="0" t="0" r="0" b="0"/>
          <wp:docPr id="1073741825" name="officeArt object" descr="cji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ji_eng" descr="cji_e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516" cy="6190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    </w:t>
    </w:r>
    <w:r>
      <w:rPr>
        <w:b/>
        <w:bCs/>
        <w:noProof/>
        <w:lang w:val="ru-RU"/>
      </w:rPr>
      <w:drawing>
        <wp:inline distT="0" distB="0" distL="0" distR="0" wp14:anchorId="7C7DD5BE" wp14:editId="027DE312">
          <wp:extent cx="1387785" cy="437913"/>
          <wp:effectExtent l="0" t="0" r="0" b="0"/>
          <wp:docPr id="1073741826" name="officeArt object" descr="QM-DOKUMENT_LOGO-RGB-TIF_DWA-RGB-Standard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QM-DOKUMENT_LOGO-RGB-TIF_DWA-RGB-Standard-Logo" descr="QM-DOKUMENT_LOGO-RGB-TIF_DWA-RGB-Standard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7785" cy="4379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    </w:t>
    </w:r>
    <w:r>
      <w:rPr>
        <w:b/>
        <w:bCs/>
        <w:noProof/>
        <w:lang w:val="ru-RU"/>
      </w:rPr>
      <w:drawing>
        <wp:inline distT="0" distB="0" distL="0" distR="0" wp14:anchorId="327CE58F" wp14:editId="7C7F6561">
          <wp:extent cx="1057905" cy="609350"/>
          <wp:effectExtent l="0" t="0" r="0" b="0"/>
          <wp:docPr id="1073741827" name="officeArt object" descr="ELdZ_ml_cmyk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ELdZ_ml_cmyk_en" descr="ELdZ_ml_cmyk_en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7905" cy="60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</w:rPr>
      <w:t xml:space="preserve">               </w:t>
    </w:r>
    <w:r>
      <w:rPr>
        <w:noProof/>
      </w:rPr>
      <w:drawing>
        <wp:inline distT="0" distB="0" distL="0" distR="0" wp14:anchorId="3E61478E" wp14:editId="3502DC3E">
          <wp:extent cx="1644979" cy="558853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44979" cy="5588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889"/>
    <w:multiLevelType w:val="hybridMultilevel"/>
    <w:tmpl w:val="992A5E46"/>
    <w:numStyleLink w:val="ImportedStyle3"/>
  </w:abstractNum>
  <w:abstractNum w:abstractNumId="1" w15:restartNumberingAfterBreak="0">
    <w:nsid w:val="0EE35941"/>
    <w:multiLevelType w:val="hybridMultilevel"/>
    <w:tmpl w:val="9C669F98"/>
    <w:styleLink w:val="ImportedStyle4"/>
    <w:lvl w:ilvl="0" w:tplc="2452B0F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68E9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43F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8DE5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C3AF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69B2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C64AA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C2A4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2A69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E63393"/>
    <w:multiLevelType w:val="hybridMultilevel"/>
    <w:tmpl w:val="992A5E46"/>
    <w:styleLink w:val="ImportedStyle3"/>
    <w:lvl w:ilvl="0" w:tplc="38FA4C2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01B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EEA4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601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87E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C53D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201A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AE5C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9CD00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FE4A3B"/>
    <w:multiLevelType w:val="hybridMultilevel"/>
    <w:tmpl w:val="43429714"/>
    <w:numStyleLink w:val="ImportedStyle2"/>
  </w:abstractNum>
  <w:abstractNum w:abstractNumId="4" w15:restartNumberingAfterBreak="0">
    <w:nsid w:val="20A62DDF"/>
    <w:multiLevelType w:val="hybridMultilevel"/>
    <w:tmpl w:val="DA4C3FA6"/>
    <w:styleLink w:val="ImportedStyle7"/>
    <w:lvl w:ilvl="0" w:tplc="1B364960">
      <w:start w:val="1"/>
      <w:numFmt w:val="decimal"/>
      <w:lvlText w:val="%1.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00E1A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62C56">
      <w:start w:val="1"/>
      <w:numFmt w:val="lowerRoman"/>
      <w:lvlText w:val="%3."/>
      <w:lvlJc w:val="left"/>
      <w:pPr>
        <w:ind w:left="20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2197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2173C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47FA8">
      <w:start w:val="1"/>
      <w:numFmt w:val="lowerRoman"/>
      <w:lvlText w:val="%6."/>
      <w:lvlJc w:val="left"/>
      <w:pPr>
        <w:ind w:left="41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0F34E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CC8A8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A1B10">
      <w:start w:val="1"/>
      <w:numFmt w:val="lowerRoman"/>
      <w:lvlText w:val="%9."/>
      <w:lvlJc w:val="left"/>
      <w:pPr>
        <w:ind w:left="63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474894"/>
    <w:multiLevelType w:val="hybridMultilevel"/>
    <w:tmpl w:val="9C669F98"/>
    <w:numStyleLink w:val="ImportedStyle4"/>
  </w:abstractNum>
  <w:abstractNum w:abstractNumId="6" w15:restartNumberingAfterBreak="0">
    <w:nsid w:val="280754E2"/>
    <w:multiLevelType w:val="hybridMultilevel"/>
    <w:tmpl w:val="43429714"/>
    <w:styleLink w:val="ImportedStyle2"/>
    <w:lvl w:ilvl="0" w:tplc="7CD2E5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545F5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0B9B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61A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C3CF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6CB41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E8C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147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3A4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5D1969"/>
    <w:multiLevelType w:val="hybridMultilevel"/>
    <w:tmpl w:val="F0988778"/>
    <w:styleLink w:val="ImportedStyle1"/>
    <w:lvl w:ilvl="0" w:tplc="AC08561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2EE1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2EC5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AD7E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ECA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80BE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80E8E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F006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C9D4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674930"/>
    <w:multiLevelType w:val="hybridMultilevel"/>
    <w:tmpl w:val="D96A372E"/>
    <w:styleLink w:val="ImportedStyle6"/>
    <w:lvl w:ilvl="0" w:tplc="6A000674">
      <w:start w:val="1"/>
      <w:numFmt w:val="bullet"/>
      <w:lvlText w:val="❖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A6F20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2C05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4D424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08062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0B53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E023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346076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6EF0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8609E"/>
    <w:multiLevelType w:val="hybridMultilevel"/>
    <w:tmpl w:val="DA4C3FA6"/>
    <w:numStyleLink w:val="ImportedStyle7"/>
  </w:abstractNum>
  <w:abstractNum w:abstractNumId="10" w15:restartNumberingAfterBreak="0">
    <w:nsid w:val="4A7127F6"/>
    <w:multiLevelType w:val="hybridMultilevel"/>
    <w:tmpl w:val="D96A372E"/>
    <w:numStyleLink w:val="ImportedStyle6"/>
  </w:abstractNum>
  <w:abstractNum w:abstractNumId="11" w15:restartNumberingAfterBreak="0">
    <w:nsid w:val="4AC36C2E"/>
    <w:multiLevelType w:val="hybridMultilevel"/>
    <w:tmpl w:val="F528C7AC"/>
    <w:styleLink w:val="ImportedStyle5"/>
    <w:lvl w:ilvl="0" w:tplc="A55E87E4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CF34E">
      <w:start w:val="1"/>
      <w:numFmt w:val="bullet"/>
      <w:lvlText w:val="□"/>
      <w:lvlJc w:val="left"/>
      <w:pPr>
        <w:tabs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8E558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4D142">
      <w:start w:val="1"/>
      <w:numFmt w:val="bullet"/>
      <w:lvlText w:val="•"/>
      <w:lvlJc w:val="left"/>
      <w:pPr>
        <w:tabs>
          <w:tab w:val="left" w:pos="1416"/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8F772">
      <w:start w:val="1"/>
      <w:numFmt w:val="bullet"/>
      <w:lvlText w:val="□"/>
      <w:lvlJc w:val="left"/>
      <w:pPr>
        <w:tabs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A6568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CE936">
      <w:start w:val="1"/>
      <w:numFmt w:val="bullet"/>
      <w:lvlText w:val="•"/>
      <w:lvlJc w:val="left"/>
      <w:pPr>
        <w:tabs>
          <w:tab w:val="left" w:pos="1416"/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ADC7E">
      <w:start w:val="1"/>
      <w:numFmt w:val="bullet"/>
      <w:lvlText w:val="□"/>
      <w:lvlJc w:val="left"/>
      <w:pPr>
        <w:tabs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802B0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8A2004"/>
    <w:multiLevelType w:val="hybridMultilevel"/>
    <w:tmpl w:val="F0988778"/>
    <w:numStyleLink w:val="ImportedStyle1"/>
  </w:abstractNum>
  <w:abstractNum w:abstractNumId="13" w15:restartNumberingAfterBreak="0">
    <w:nsid w:val="6F98766A"/>
    <w:multiLevelType w:val="hybridMultilevel"/>
    <w:tmpl w:val="F528C7AC"/>
    <w:numStyleLink w:val="ImportedStyle5"/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C"/>
    <w:rsid w:val="0017407C"/>
    <w:rsid w:val="003A19AD"/>
    <w:rsid w:val="003C10C4"/>
    <w:rsid w:val="003D59E8"/>
    <w:rsid w:val="006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4F13"/>
  <w15:docId w15:val="{5DC66655-D20F-47CD-B2DC-D6771A7D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clear" w:color="auto" w:fill="FFFFFF"/>
      <w:lang w:val="en-US"/>
    </w:rPr>
  </w:style>
  <w:style w:type="paragraph" w:styleId="Subsol">
    <w:name w:val="footer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  <w:lang w:val="en-US"/>
    </w:rPr>
  </w:style>
  <w:style w:type="paragraph" w:styleId="Titlu">
    <w:name w:val="Title"/>
    <w:next w:val="Normal"/>
    <w:uiPriority w:val="10"/>
    <w:qFormat/>
    <w:pPr>
      <w:spacing w:after="160" w:line="259" w:lineRule="auto"/>
    </w:pPr>
    <w:rPr>
      <w:rFonts w:ascii="Arial" w:eastAsia="Arial" w:hAnsi="Arial" w:cs="Arial"/>
      <w:color w:val="000000"/>
      <w:spacing w:val="-10"/>
      <w:kern w:val="28"/>
      <w:sz w:val="56"/>
      <w:szCs w:val="56"/>
      <w:u w:color="000000"/>
      <w:shd w:val="clear" w:color="auto" w:fill="FFFFFF"/>
      <w:lang w:val="en-US"/>
    </w:rPr>
  </w:style>
  <w:style w:type="paragraph" w:styleId="NormalWeb">
    <w:name w:val="Normal (Web)"/>
    <w:pPr>
      <w:spacing w:before="100" w:after="100" w:line="259" w:lineRule="auto"/>
    </w:pPr>
    <w:rPr>
      <w:rFonts w:eastAsia="Times New Roman"/>
      <w:color w:val="000000"/>
      <w:sz w:val="24"/>
      <w:szCs w:val="24"/>
      <w:u w:color="000000"/>
      <w:shd w:val="clear" w:color="auto" w:fill="FFFFFF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/>
      <w:color w:val="000000"/>
      <w:sz w:val="24"/>
      <w:szCs w:val="24"/>
      <w:u w:val="single" w:color="000000"/>
      <w14:textOutline w14:w="4572" w14:cap="flat" w14:cmpd="sng" w14:algn="ctr">
        <w14:solidFill>
          <w14:srgbClr w14:val="000000"/>
        </w14:solidFill>
        <w14:prstDash w14:val="solid"/>
        <w14:miter w14:lim="400000"/>
      </w14:textOutline>
      <w14:textFill>
        <w14:noFill/>
      </w14:textFill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clear" w:color="auto" w:fill="FFFFFF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Body">
    <w:name w:val="Body"/>
    <w:rsid w:val="003A19A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a.mediacritica.md/ro/category/recente/de-invatat/manua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unicare@ijc.m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jc.m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atia.mediacritica.md/ro/category/recente/de-invatat/manu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a.mediacritica.m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Tabuncic</cp:lastModifiedBy>
  <cp:revision>2</cp:revision>
  <dcterms:created xsi:type="dcterms:W3CDTF">2021-09-21T11:56:00Z</dcterms:created>
  <dcterms:modified xsi:type="dcterms:W3CDTF">2021-09-21T12:30:00Z</dcterms:modified>
</cp:coreProperties>
</file>